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FluLärmGeilenkV (Nordrhein-Westfalen)</w:t>
      </w:r>
    </w:p>
    <w:p>
      <w:r>
        <w:rPr>
          <w:color w:val="555555"/>
          <w:sz w:val="18"/>
        </w:rPr>
        <w:t xml:space="preserve">Fluglärmschutzverordnung Geilenkirchen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Lärmschutzbereich mit seinen zwei Tag-Schutzzonen und seiner Nacht-Schutzzone wird bestimmt durch die Verbindungslinien zwischen den in Anlage 1 genannten Kurvenpunkten, soweit diese Linien außerhalb des Flugplatzgeländes verlaufen.</w:t>
      </w:r>
    </w:p>
    <w:p>
      <w:r>
        <w:rPr>
          <w:color w:val="555555"/>
          <w:sz w:val="17"/>
        </w:rPr>
        <w:t xml:space="preserve">Zitiervorschlag: § 2 FluLärmGeilenkV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https://recht.nulegal.eu/gesetze/FluL%C3%A4rmGeilenkV/2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