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FluLärmG — Entschädigung bei Bauverboten</w:t>
      </w:r>
    </w:p>
    <w:p>
      <w:r>
        <w:rPr>
          <w:color w:val="555555"/>
          <w:sz w:val="18"/>
        </w:rPr>
        <w:t xml:space="preserve">Gesetz zum Schutz gegen Fluglärm</w:t>
      </w:r>
    </w:p>
    <w:p>
      <w:r>
        <w:rPr>
          <w:color w:val="555555"/>
          <w:sz w:val="18"/>
        </w:rPr>
        <w:t xml:space="preserve">Stand: 10.06.2019 (konsolidierte Textfassung, kein amtliches Inkrafttretensdatum)</w:t>
      </w:r>
    </w:p>
    <w:p>
      <w:r>
        <w:t xml:space="preserve">(1) Wird durch ein Bauverbot nach § 5 Abs. 1 Satz 1 und 2 oder Absatz 2 Satz 1 die bisher zulässige bauliche Nutzung aufgehoben und tritt dadurch eine nicht nur unwesentliche Wertminderung des Grundstücks ein, so kann der Eigentümer insoweit eine angemessene Entschädigung in Geld verlangen. Der Eigentümer kann ferner eine angemessene Entschädigung in Geld verlangen, soweit durch das Bauverbot Aufwendungen für Vorbereitungen zur baulichen Nutzung des Grundstücks an Wert verlieren, die der Eigentümer im Vertrauen auf den Bestand der bisher zulässigen baulichen Nutzung gemacht hat.</w:t>
      </w:r>
    </w:p>
    <w:p>
      <w:r>
        <w:t xml:space="preserve">(2) Die Vorschriften des § 93 Abs. 2, 3 und 4, des § 95 Abs. 1, 2 und 4, der §§ 96, 97, 98 und 99 Abs. 1 des Baugesetzbuchs sowie die Vorschriften der §§ 17, 18 Abs. 1, 2 Satz 1, Abs. 3 und der §§ 19 bis 25 des Schutzbereichgesetzes vom 7. Dezember 1956 (Bundesgesetzbl. I S. 899), zuletzt geändert durch Artikel 1 Abs. 6 der Verordnung vom 5. April 2002 (BGBl. I S. 1250), sind sinngemäß anzuwenden.</w:t>
      </w:r>
    </w:p>
    <w:p>
      <w:r>
        <w:rPr>
          <w:color w:val="555555"/>
          <w:sz w:val="17"/>
        </w:rPr>
        <w:t xml:space="preserve">Zitiervorschlag: § 8 FluLärmG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