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FluLärmG — Sonstige Beschränkungen der baulichen Nutzung</w:t>
      </w:r>
    </w:p>
    <w:p>
      <w:r>
        <w:rPr>
          <w:color w:val="555555"/>
          <w:sz w:val="18"/>
        </w:rPr>
        <w:t xml:space="preserve">Gesetz zum Schutz gegen Fluglärm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5 Abs. 1 Satz 3, Abs. 2 Satz 2 und Abs. 3 zulässigen baulichen Anlagen sowie Wohnungen in der Tag-Schutzzone 2 dürfen nur errichtet werden, sofern sie den nach § 7 festgesetzten Schallschutzanforderungen genügen.</w:t>
      </w:r>
    </w:p>
    <w:p>
      <w:r>
        <w:rPr>
          <w:color w:val="555555"/>
          <w:sz w:val="17"/>
        </w:rPr>
        <w:t xml:space="preserve">Zitiervorschlag: § 6 FluLärmG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