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FluLärmG — Ermittlung der Lärmbelastung</w:t>
      </w:r>
    </w:p>
    <w:p>
      <w:r>
        <w:rPr>
          <w:color w:val="555555"/>
          <w:sz w:val="18"/>
        </w:rPr>
        <w:t xml:space="preserve">Gesetz zum Schutz gegen Fluglärm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äquivalente Dauerschallpegel L(tief)Aeq Tag für die Tag-Schutzzonen 1 und 2 sowie der äquivalente Dauerschallpegel L(tief)Aeq Nacht und der Maximalpegel L(tief)Amax für die Nacht-Schutzzone werden unter Berücksichtigung von Art und Umfang des voraussehbaren Flugbetriebs nach der Anlage zu diesem Gesetz ermittelt.</w:t>
      </w:r>
    </w:p>
    <w:p>
      <w:r>
        <w:t xml:space="preserve">(2) Die Bundesregierung wird ermächtigt, nach Anhörung der beteiligten Kreise (§ 15) durch Rechtsverordnung mit Zustimmung des Bundesrates Art und Umfang der erforderlichen Auskünfte der nach § 11 Verpflichteten und die Berechnungsmethode für die Ermittlung der Lärmbelastung zu regeln.</w:t>
      </w:r>
    </w:p>
    <w:p>
      <w:r>
        <w:rPr>
          <w:color w:val="555555"/>
          <w:sz w:val="17"/>
        </w:rPr>
        <w:t xml:space="preserve">Zitiervorschlag: § 3 FluLärmG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