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FluLärmG — Zahlungspflichtiger</w:t>
      </w:r>
    </w:p>
    <w:p>
      <w:r>
        <w:rPr>
          <w:color w:val="555555"/>
          <w:sz w:val="18"/>
        </w:rPr>
        <w:t xml:space="preserve">Gesetz zum Schutz gegen Fluglärm</w:t>
      </w:r>
    </w:p>
    <w:p>
      <w:r>
        <w:rPr>
          <w:color w:val="555555"/>
          <w:sz w:val="18"/>
        </w:rPr>
        <w:t xml:space="preserve">Stand: 10.06.2019 (konsolidierte Textfassung, kein amtliches Inkrafttretensdatum)</w:t>
      </w:r>
    </w:p>
    <w:p>
      <w:r>
        <w:t xml:space="preserve">(1) Zur Zahlung der Entschädigung nach § 8, zur Erstattung der Aufwendungen für bauliche Schallschutzmaßnahmen nach § 9 Abs. 1 und 2 und zur Zahlung der Entschädigung für Beeinträchtigungen des Außenwohnbereichs nach § 9 Abs. 5 ist der Flugplatzhalter verpflichtet.</w:t>
      </w:r>
    </w:p>
    <w:p>
      <w:r>
        <w:t xml:space="preserve">(2) Soweit die auf Grund völkerrechtlicher Verträge in der Bundesrepublik Deutschland stationierten Streitkräfte Flugplätze im Bundesgebiet benutzen und ein Entsendestaat als Flugplatzhalter zahlungspflichtig ist, steht die Bundesrepublik für die Erfüllung der Zahlungspflicht ein. Rechtsstreitigkeiten wegen der Zahlung einer Entschädigung oder der Erstattung von Aufwendungen für bauliche Schallschutzmaßnahmen werden von der Bundesrepublik Deutschland im eigenen Namen für den Entsendestaat geführt, gegen den sich der Anspruch richtet.</w:t>
      </w:r>
    </w:p>
    <w:p>
      <w:r>
        <w:rPr>
          <w:color w:val="555555"/>
          <w:sz w:val="17"/>
        </w:rPr>
        <w:t xml:space="preserve">Zitiervorschlag: § 12 FluLärmG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https://recht.nulegal.eu/gesetze/FluL%C3%A4rmG/12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