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FluLärmG — Verfahren bei der Erstattung von Aufwendungen</w:t>
      </w:r>
    </w:p>
    <w:p>
      <w:r>
        <w:rPr>
          <w:color w:val="555555"/>
          <w:sz w:val="18"/>
        </w:rPr>
        <w:t xml:space="preserve">Gesetz zum Schutz gegen Fluglärm</w:t>
      </w:r>
    </w:p>
    <w:p>
      <w:r>
        <w:rPr>
          <w:color w:val="555555"/>
          <w:sz w:val="18"/>
        </w:rPr>
        <w:t xml:space="preserve">Stand: 10.06.2019 (konsolidierte Textfassung, kein amtliches Inkrafttretensdatum)</w:t>
      </w:r>
    </w:p>
    <w:p>
      <w:r>
        <w:t xml:space="preserve">Die nach Landesrecht zuständige Behörde setzt nach Anhörung der Beteiligten (Zahlungsempfänger und Zahlungspflichtiger) durch schriftlichen Bescheid fest, in welcher Höhe die Aufwendungen erstattungsfähig sind. Der Bescheid muss eine Rechtsmittelbelehrung enthalten. Er ist den Beteiligten zuzustellen.</w:t>
      </w:r>
    </w:p>
    <w:p>
      <w:r>
        <w:rPr>
          <w:color w:val="555555"/>
          <w:sz w:val="17"/>
        </w:rPr>
        <w:t xml:space="preserve">Zitiervorschlag: § 10 FluLärmG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