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FloristMPrV — Gliederung der Prüfung</w:t>
      </w:r>
    </w:p>
    <w:p>
      <w:r>
        <w:rPr>
          <w:color w:val="555555"/>
          <w:sz w:val="18"/>
        </w:rPr>
        <w:t xml:space="preserve">Verordnung über die Prüfung zum anerkannten Abschluss Geprüfter Floristmeister/Geprüfte Floristmeisterin</w:t>
      </w:r>
    </w:p>
    <w:p>
      <w:r>
        <w:rPr>
          <w:color w:val="555555"/>
          <w:sz w:val="18"/>
        </w:rPr>
        <w:t xml:space="preserve">Historische Fassung: Stand 10.06.2019 bis 25.12.2019. Dies ist nicht die aktuelle Fassung.</w:t>
      </w:r>
    </w:p>
    <w:p>
      <w:r>
        <w:t xml:space="preserve">(1) Die Prüfungsanforderungen beziehen sich auf:</w:t>
      </w:r>
    </w:p>
    <w:p>
      <w:pPr>
        <w:ind w:left="420"/>
      </w:pPr>
      <w:r>
        <w:t xml:space="preserve">1. Handlungsbereiche (§ 4) und</w:t>
      </w:r>
    </w:p>
    <w:p>
      <w:pPr>
        <w:ind w:left="420"/>
      </w:pPr>
      <w:r>
        <w:t xml:space="preserve">2. Handlungsobjekte (§ 5).</w:t>
      </w:r>
    </w:p>
    <w:p>
      <w:r>
        <w:t xml:space="preserve">(2) Die Prüfung besteht aus drei integrativen Situationsaufgaben nach Maßgabe des § 6 Abs. 1 bis 5 und dem Nachweis der berufs- und arbeitspädagogischen Eignung nach Maßgabe des § 6 Abs. 6.</w:t>
      </w:r>
    </w:p>
    <w:p>
      <w:r>
        <w:rPr>
          <w:color w:val="555555"/>
          <w:sz w:val="17"/>
        </w:rPr>
        <w:t xml:space="preserve">Zitiervorschlag: § 3 FloristMPrV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https://recht.nulegal.eu/gesetze/FloristMPrV/3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