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FloristMPrV — Inkrafttreten</w:t>
      </w:r>
    </w:p>
    <w:p>
      <w:r>
        <w:rPr>
          <w:color w:val="555555"/>
          <w:sz w:val="18"/>
        </w:rPr>
        <w:t xml:space="preserve">Verordnung über die Prüfung zum anerkannten Abschluss Geprüfter Floristmeister/Geprüfte Floristmeisterin</w:t>
      </w:r>
    </w:p>
    <w:p>
      <w:r>
        <w:rPr>
          <w:color w:val="555555"/>
          <w:sz w:val="18"/>
        </w:rPr>
        <w:t xml:space="preserve">Historische Fassung: Stand 10.06.2019 bis 25.12.2019. Dies ist nicht die aktuelle Fassung.</w:t>
      </w:r>
    </w:p>
    <w:p>
      <w:r>
        <w:t xml:space="preserve">Die Verordnung tritt am 1. September 2001 in Kraft.</w:t>
      </w:r>
    </w:p>
    <w:p>
      <w:r>
        <w:rPr>
          <w:color w:val="555555"/>
          <w:sz w:val="17"/>
        </w:rPr>
        <w:t xml:space="preserve">Zitiervorschlag: § 11 FloristMPrV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https://recht.nulegal.eu/gesetze/FloristMPrV/11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