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FloristMFPrV — Handlungsobjekte</w:t>
      </w:r>
    </w:p>
    <w:p>
      <w:r>
        <w:rPr>
          <w:color w:val="555555"/>
          <w:sz w:val="18"/>
        </w:rPr>
        <w:t xml:space="preserve">Floristmeister-Fortbildungsprüfungsverordnung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Handlungsobjekte sind floristische Werkstücke, die in ihrer Gestaltung bezogen werden auf Thema, Raum oder Anlass. In der Prüfung soll die zu prüfende Person nachweisen, dass sie die floristischen Gestaltungsformen und -mittel beherrscht und diese bei unterschiedlichen Anforderungen und Kundenwünschen anwenden kann.</w:t>
      </w:r>
    </w:p>
    <w:p>
      <w:r>
        <w:t xml:space="preserve">(2) Dabei</w:t>
      </w:r>
    </w:p>
    <w:p>
      <w:pPr>
        <w:ind w:left="420"/>
      </w:pPr>
      <w:r>
        <w:t xml:space="preserve">1. geht die themenbezogene Floristik von einem oder mehreren floristischen Werkstoffen aus, die zu einem aussagekräftigen Werkstück gestaltet werden,</w:t>
      </w:r>
    </w:p>
    <w:p>
      <w:pPr>
        <w:ind w:left="420"/>
      </w:pPr>
      <w:r>
        <w:t xml:space="preserve">2. wird die raumbezogene Floristik bestimmt von den Größenverhältnissen, der Architektur und den Stilelementen eines Raumes, sowohl innen als auch außen, denen die floristischen Werkstücke angepasst werden,</w:t>
      </w:r>
    </w:p>
    <w:p>
      <w:pPr>
        <w:ind w:left="420"/>
      </w:pPr>
      <w:r>
        <w:t xml:space="preserve">3. wird die anlassbezogene Floristik bestimmt durch Ereignisse des menschlichen Lebens sowie religiöse und weltliche Feste, nach Sitten und Brauchtum, die traditionsgemäß unter Verwendung bestimmter floristischer Werkstücke begangen werden.</w:t>
      </w:r>
    </w:p>
    <w:p>
      <w:r>
        <w:rPr>
          <w:color w:val="555555"/>
          <w:sz w:val="17"/>
        </w:rPr>
        <w:t xml:space="preserve">Zitiervorschlag: § 5 FloristMFPrV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https://recht.nulegal.eu/gesetze/FloristMFPrV/5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