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FloristAusbV 2025 — Aufteilung in zwei Teile und Zeitpunkt</w:t>
      </w:r>
    </w:p>
    <w:p>
      <w:r>
        <w:rPr>
          <w:color w:val="555555"/>
          <w:sz w:val="18"/>
        </w:rPr>
        <w:t xml:space="preserve">Floristen-Ausbildungsverordnung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Den jeweiligen Zeitpunkt legt die zuständige Stelle fest.</w:t>
      </w:r>
    </w:p>
    <w:p>
      <w:r>
        <w:rPr>
          <w:color w:val="555555"/>
          <w:sz w:val="17"/>
        </w:rPr>
        <w:t xml:space="preserve">Zitiervorschlag: § 6 FloristAusbV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https://recht.nulegal.eu/gesetze/FloristAusbV%202025/6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FloristAusbV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