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FlexMstrV — Inkrafttreten</w:t>
      </w:r>
    </w:p>
    <w:p>
      <w:r>
        <w:rPr>
          <w:color w:val="555555"/>
          <w:sz w:val="18"/>
        </w:rPr>
        <w:t xml:space="preserve">Flexografenmeisterverordnung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1. September 1994 in Kraft.</w:t>
      </w:r>
    </w:p>
    <w:p>
      <w:r>
        <w:t xml:space="preserve">(2) Die auf Grund des § 122 der Handwerksordnung weiter anzuwendenden Vorschriften sind, soweit sie Gegenstände dieser Verordnung regeln, nicht mehr anzuwenden.</w:t>
      </w:r>
    </w:p>
    <w:p>
      <w:r>
        <w:rPr>
          <w:color w:val="555555"/>
          <w:sz w:val="17"/>
        </w:rPr>
        <w:t xml:space="preserve">Zitiervorschlag: § 8 FlexMstrV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https://recht.nulegal.eu/gesetze/FlexMstrV/8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