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FleiMstrV 2012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der Handwerksordnung, der zuletzt durch Artikel 3 Nummer 1 des Gesetzes vom 11. Juli 2011 (BGBl. I S. 1341)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