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FleiMstrV 2012 — Inkrafttreten, Außerkrafttreten</w:t>
      </w:r>
    </w:p>
    <w:p>
      <w:r>
        <w:rPr>
          <w:color w:val="555555"/>
          <w:sz w:val="18"/>
        </w:rPr>
        <w:t xml:space="preserve">Fleischermeisterverordnung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2013 in Kraft. Gleichzeitig tritt die Fleischermeisterverordnung vom 19. Juni 1996 (BGBl. I S. 882), die durch Artikel 4 der Verordnung vom 19. Oktober 2007 (BGBl. I S. 2461) geändert worden ist, außer Kraft.</w:t>
      </w:r>
    </w:p>
    <w:p>
      <w:r>
        <w:rPr>
          <w:color w:val="555555"/>
          <w:sz w:val="17"/>
        </w:rPr>
        <w:t xml:space="preserve">Zitiervorschlag: § 11 FleiMstrV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https://recht.nulegal.eu/gesetze/FleiMstrV%202012/11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