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FleiAusbV 2005 — Staatliche Anerkennung des Ausbildungsberufes</w:t>
      </w:r>
    </w:p>
    <w:p>
      <w:r>
        <w:rPr>
          <w:color w:val="555555"/>
          <w:sz w:val="18"/>
        </w:rPr>
        <w:t xml:space="preserve">Verordnung über die Berufsausbildung zum Fleischer/zur Fleischerin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Fleischer/Fleischerin wird</w:t>
      </w:r>
    </w:p>
    <w:p>
      <w:pPr>
        <w:ind w:left="420"/>
      </w:pPr>
      <w:r>
        <w:t xml:space="preserve">1. gemäß § 25 der Handwerksordnung zur Ausbildung für das Gewerbe Nummer 32 der Anlage A der Handwerksordnung und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FleiAusbV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https://recht.nulegal.eu/gesetze/FleiAusbV%202005/1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FleiAusbV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