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FlechtwAusbV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auf Grund des § 25 Abs. 1 in Verbindung mit § 26 der Handwerksordnung in der Fassung der Bekanntmachung vom 14. September 1998 (BGBl. I S. 3074), die durch Artikel 2 Nr. 4 des Gesetzes vom 23. März 2005 (BGBl. I S. 931) neu gefasst worden sind, jeweils auch in Verbindung mit § 1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