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FlechtwAusbV — Struktur der Berufsausbildung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die Ausbildung in einem der Schwerpunkte</w:t>
      </w:r>
    </w:p>
    <w:p>
      <w:pPr>
        <w:ind w:left="420"/>
      </w:pPr>
      <w:r>
        <w:t xml:space="preserve">A. Korbwaren,</w:t>
      </w:r>
    </w:p>
    <w:p>
      <w:pPr>
        <w:ind w:left="420"/>
      </w:pPr>
      <w:r>
        <w:t xml:space="preserve">B. Flechtmöbel oder</w:t>
      </w:r>
    </w:p>
    <w:p>
      <w:pPr>
        <w:ind w:left="420"/>
      </w:pPr>
      <w:r>
        <w:t xml:space="preserve">C. Flechtobjekte.</w:t>
      </w:r>
    </w:p>
    <w:p>
      <w:r>
        <w:rPr>
          <w:color w:val="555555"/>
          <w:sz w:val="17"/>
        </w:rPr>
        <w:t xml:space="preserve">Zitiervorschlag: § 4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