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FlechtwAusbV — Staatliche Anerkennung des Ausbildungsberufes</w:t>
      </w:r>
    </w:p>
    <w:p>
      <w:r>
        <w:rPr>
          <w:color w:val="555555"/>
          <w:sz w:val="18"/>
        </w:rPr>
        <w:t xml:space="preserve">Verordnung über die Berufsausbildung zum Flechtwerkgestalter/zur Flechtwerkgestalterin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Ausbildungsberuf Flechtwerkgestalter/Flechtwerkgestalterin wird</w:t>
      </w:r>
    </w:p>
    <w:p>
      <w:pPr>
        <w:ind w:left="420"/>
      </w:pPr>
      <w:r>
        <w:t xml:space="preserve">1. gemäß § 25 der Handwerksordnung für die Ausbildung für das Gewerbe Nummer 18, Korbmacher, der Anlage B Abschnitt 1 der Handwerksordnung sowie</w:t>
      </w:r>
    </w:p>
    <w:p>
      <w:pPr>
        <w:ind w:left="420"/>
      </w:pPr>
      <w:r>
        <w:t xml:space="preserve">2. gemäß § 4 Abs. 1 des Berufsbildungsgesetzes</w:t>
      </w:r>
    </w:p>
    <w:p>
      <w:r>
        <w:t xml:space="preserve">staatlich anerkannt.</w:t>
      </w:r>
    </w:p>
    <w:p>
      <w:r>
        <w:rPr>
          <w:color w:val="555555"/>
          <w:sz w:val="17"/>
        </w:rPr>
        <w:t xml:space="preserve">Zitiervorschlag: § 1 FlechtwAusbV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https://recht.nulegal.eu/gesetze/FlechtwAusbV/1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