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FlaggRG — (zu § 7 Absatz 2 Satz 1)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2012, 2794)</w:t>
      </w:r>
    </w:p>
    <w:p>
      <w:r>
        <w:rPr>
          <w:rFonts w:ascii="Courier New" w:hAnsi="Courier New"/>
          <w:sz w:val="17"/>
        </w:rPr>
        <w:t xml:space="preserve">lfd. Nr.    Schiffsgrößenklasse    Verpflichtungszeitraum in Monaten für jedes Jahr der Wirksamkeit der Ausflaggungsgenehmigung</w:t>
      </w:r>
    </w:p>
    <w:p>
      <w:r>
        <w:rPr>
          <w:rFonts w:ascii="Courier New" w:hAnsi="Courier New"/>
          <w:sz w:val="17"/>
        </w:rPr>
        <w:t xml:space="preserve">1    Bruttoraumzahl bis zu 500    1,0</w:t>
      </w:r>
    </w:p>
    <w:p>
      <w:r>
        <w:rPr>
          <w:rFonts w:ascii="Courier New" w:hAnsi="Courier New"/>
          <w:sz w:val="17"/>
        </w:rPr>
        <w:t xml:space="preserve">2    Bruttoraumzahl von über 500 bis 1 600    1,5</w:t>
      </w:r>
    </w:p>
    <w:p>
      <w:r>
        <w:rPr>
          <w:rFonts w:ascii="Courier New" w:hAnsi="Courier New"/>
          <w:sz w:val="17"/>
        </w:rPr>
        <w:t xml:space="preserve">3    Bruttoraumzahl von über 1 600 bis 3 000    2,0</w:t>
      </w:r>
    </w:p>
    <w:p>
      <w:r>
        <w:rPr>
          <w:rFonts w:ascii="Courier New" w:hAnsi="Courier New"/>
          <w:sz w:val="17"/>
        </w:rPr>
        <w:t xml:space="preserve">4    Bruttoraumzahl von über 3 000 bis 8 000    3,0</w:t>
      </w:r>
    </w:p>
    <w:p>
      <w:r>
        <w:rPr>
          <w:rFonts w:ascii="Courier New" w:hAnsi="Courier New"/>
          <w:sz w:val="17"/>
        </w:rPr>
        <w:t xml:space="preserve">5    Bruttoraumzahl von über 8 000 bis 14 000    3,5</w:t>
      </w:r>
    </w:p>
    <w:p>
      <w:r>
        <w:rPr>
          <w:rFonts w:ascii="Courier New" w:hAnsi="Courier New"/>
          <w:sz w:val="17"/>
        </w:rPr>
        <w:t xml:space="preserve">6    Bruttoraumzahl von über 14 000 bis 20 000    4,5</w:t>
      </w:r>
    </w:p>
    <w:p>
      <w:r>
        <w:rPr>
          <w:rFonts w:ascii="Courier New" w:hAnsi="Courier New"/>
          <w:sz w:val="17"/>
        </w:rPr>
        <w:t xml:space="preserve">7    Bruttoraumzahl von über 20 000 bis 80 000    5,0</w:t>
      </w:r>
    </w:p>
    <w:p>
      <w:r>
        <w:rPr>
          <w:rFonts w:ascii="Courier New" w:hAnsi="Courier New"/>
          <w:sz w:val="17"/>
        </w:rPr>
        <w:t xml:space="preserve">8    Bruttoraumzahl von über 80 000    5,5</w:t>
      </w:r>
    </w:p>
    <w:p>
      <w:r>
        <w:rPr>
          <w:color w:val="555555"/>
          <w:sz w:val="17"/>
        </w:rPr>
        <w:t xml:space="preserve">Zitiervorschlag: Anlage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