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FlaggRG — Auszug aus EinigVtr Anlage I Kapitel XI Sachgebiet D Abschnitt III (BGBl. II 1990, 889, 1107)</w:t>
      </w:r>
    </w:p>
    <w:p>
      <w:r>
        <w:rPr>
          <w:color w:val="555555"/>
          <w:sz w:val="18"/>
        </w:rPr>
        <w:t xml:space="preserve">Flaggenrechtsgesetz</w:t>
      </w:r>
    </w:p>
    <w:p>
      <w:r>
        <w:rPr>
          <w:color w:val="555555"/>
          <w:sz w:val="18"/>
        </w:rPr>
        <w:t xml:space="preserve">Stand: 10.06.2019 (konsolidierte Textfassung, kein amtliches Inkrafttretensdatum)</w:t>
      </w:r>
    </w:p>
    <w:p>
      <w:r>
        <w:t xml:space="preserve">Bundesrecht tritt in dem in Artikel 3 des Vertrages genannten Gebiet mit folgenden Maßgaben in Kraft:</w:t>
      </w:r>
    </w:p>
    <w:p>
      <w:pPr>
        <w:ind w:left="420"/>
      </w:pPr>
      <w:r>
        <w:t xml:space="preserve">1. Flaggenrechtsgesetz in der Fassung der Bekanntmachung vom 4. Juli 1990 (BGBl. I S. 1342)mit folgender Maßgabe:Die nach den bisherigen Vorschriften der Deutschen Demokratischen Republik ausgestellten Ausweise über das Recht zur Führung der Staatsflagge der Deutschen Demokratischen Republik gelten längstens für die Dauer von sechs Monaten nach Wirksamwerden des Beitritts als Ausweise über die Berechtigung zur Führung der Bundesflagge; das Bundesamt für Seeschiffahrt und Hydrographie kann auf Antrag auf dem Ausweis oder einer beglaubigten Abschrift oder Ablichtung des Ausweises einen entsprechenden Vermerk anbringen.</w:t>
      </w:r>
    </w:p>
    <w:p>
      <w:r>
        <w:t xml:space="preserve">...</w:t>
      </w:r>
    </w:p>
    <w:p>
      <w:r>
        <w:rPr>
          <w:color w:val="555555"/>
          <w:sz w:val="17"/>
        </w:rPr>
        <w:t xml:space="preserve">Zitiervorschlag: Anhang EV FlaggRG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https://recht.nulegal.eu/gesetze/FlaggRG/anhang-ev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