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FlaggRG</w:t>
      </w:r>
    </w:p>
    <w:p>
      <w:r>
        <w:rPr>
          <w:color w:val="555555"/>
          <w:sz w:val="18"/>
        </w:rPr>
        <w:t xml:space="preserve">Flaggenrechtsgesetz</w:t>
      </w:r>
    </w:p>
    <w:p>
      <w:r>
        <w:rPr>
          <w:color w:val="555555"/>
          <w:sz w:val="18"/>
        </w:rPr>
        <w:t xml:space="preserve">Stand: 01.07.2026 (konsolidierte Textfassung, kein amtliches Inkrafttretensdatum)</w:t>
      </w:r>
    </w:p>
    <w:p>
      <w:r>
        <w:t xml:space="preserve">(1) Der Eigentümer hat dafür zu sorgen, dass an einem Seeschiff im Sinne des § 9 neben dem Namen entweder am Heck oder auf beiden Seiten des Schiffsrumpfes in Übereinstimmung mit Kapitel XI-1 Regel 3 der Anlage des Internationalen Übereinkommens von 1974 zum Schutz des menschlichen Lebens auf See (BGBl. 1979 II S. 141), das zuletzt nach Maßgabe des Gesetzes vom 22. Dezember 2003 (BGBl. 2003 II S. 2018) geändert worden ist, deutlich sichtbar die IMO-Schiffsidentifikationsnummer angebracht ist, sofern eine derartige Nummer vergeben ist.</w:t>
      </w:r>
    </w:p>
    <w:p>
      <w:r>
        <w:t xml:space="preserve">(2) Der Eigentümer hat außerdem dafür zu sorgen, dass die zusätzliche Markierung entsprechend Kapitel XI-1 Regel 3 Absatz 4.2 der Anlage des Internationalen Übereinkommens von 1974 zum Schutz des menschlichen Lebens auf See angebracht ist.</w:t>
      </w:r>
    </w:p>
    <w:p>
      <w:r>
        <w:t xml:space="preserve">(3) Das Verfahren zum Anbringen der IMO-Schiffsidentifikationsnummer an Seeschiffen, die aus einem anderen Werkstoff als Stahl oder Metall hergestellt sind, muss von der Flaggenbehörde genehmigt werden.</w:t>
      </w:r>
    </w:p>
    <w:p>
      <w:r>
        <w:rPr>
          <w:color w:val="555555"/>
          <w:sz w:val="17"/>
        </w:rPr>
        <w:t xml:space="preserve">Zitiervorschlag: § 9a FlaggRG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https://recht.nulegal.eu/gesetze/FlaggRG/9a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