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FlaggRG</w:t>
      </w:r>
    </w:p>
    <w:p>
      <w:r>
        <w:rPr>
          <w:color w:val="555555"/>
          <w:sz w:val="18"/>
        </w:rPr>
        <w:t xml:space="preserve">Flaggenrechtsgesetz</w:t>
      </w:r>
    </w:p>
    <w:p>
      <w:r>
        <w:rPr>
          <w:color w:val="555555"/>
          <w:sz w:val="18"/>
        </w:rPr>
        <w:t xml:space="preserve">Stand: 01.07.2026 (konsolidierte Textfassung, kein amtliches Inkrafttretensdatum)</w:t>
      </w:r>
    </w:p>
    <w:p>
      <w:r>
        <w:t xml:space="preserve">(1) Die Bundesflagge darf auf Seeschiffen nur geführt werden, wenn diese nach § 1 Absatz 1, auch in Verbindung mit Absatz 2, hierzu verpflichtet oder nach § 2 Absatz 1 bis 3, § 10 oder § 11 Absatz 1 oder Absatz 2 hierzu berechtigt sind.</w:t>
      </w:r>
    </w:p>
    <w:p>
      <w:r>
        <w:t xml:space="preserve">(2) Der Führer eines Seeschiffes, der sonst für das Seeschiff Verantwortliche und der Schiffsführer eines Binnenschiffes haben die Bundesflagge in der im Seeverkehr für Seeschiffe der betreffenden Gattung üblichen Art und Weise, möglichst mittig am Heck, zu führen. An der Stelle, wo die Bundesflagge gesetzt ist oder regelmäßig gesetzt wird, dürfen andere Flaggen nur zum Signalgeben gesetzt werden.</w:t>
      </w:r>
    </w:p>
    <w:p>
      <w:r>
        <w:t xml:space="preserve">(3) Der Führer eines Seeschiffes und der sonst für das Seeschiff Verantwortliche haben die Bundesflagge beim Einlaufen in einen Hafen und beim Auslaufen zu zeigen.</w:t>
      </w:r>
    </w:p>
    <w:p>
      <w:r>
        <w:t xml:space="preserve">(4) Eine Dienstflagge darf auf Seeschiffen nur geführt werden, wenn dies nach den Vorschriften über das Führen von Dienstflaggen anstelle oder neben der Bundesflagge durch Seeschiffe im öffentlichen Dienst erlaubt ist.</w:t>
      </w:r>
    </w:p>
    <w:p>
      <w:r>
        <w:t xml:space="preserve">(5) Binnenschiffe dürfen als deutsche Nationalflagge nur die Bundesflagge führen. Flaggen deutscher Länder oder andere deutsche Heimatflaggen dürfen nur neben der Bundesflagge gesetzt werden. Absatz 2 und § 6 Absatz 2 sind entsprechend anzuwenden.</w:t>
      </w:r>
    </w:p>
    <w:p>
      <w:r>
        <w:rPr>
          <w:color w:val="555555"/>
          <w:sz w:val="17"/>
        </w:rPr>
        <w:t xml:space="preserve">Zitiervorschlag: § 8 FlaggRG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https://recht.nulegal.eu/gesetze/FlaggRG/8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