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Bei Seeschiffen, für die ein Schiffszertifikat erteilt ist, wird die Ausflaggungsgenehmigung erst mit der Eintragung eines entsprechenden Vermerks in das Zertifikat wirksam.</w:t>
      </w:r>
    </w:p>
    <w:p>
      <w:r>
        <w:t xml:space="preserve">(2) Eine Veränderung der Voraussetzungen für die Erteilung der Ausflaggungsgenehmigung ist vom Inhaber der Genehmigung unverzüglich der Flaggenbehörde anzuzeigen.</w:t>
      </w:r>
    </w:p>
    <w:p>
      <w:r>
        <w:t xml:space="preserve">(3) Solange die Ausflaggungsgenehmigung wirksam ist, darf das Recht zur Führung der Bundesflagge nicht ausgeübt werden.</w:t>
      </w:r>
    </w:p>
    <w:p>
      <w:r>
        <w:t xml:space="preserve">(4) Mit Übergang des Eigentums an dem Seeschiff erlischt die Ausflaggungsgenehmigung.</w:t>
      </w:r>
    </w:p>
    <w:p>
      <w:r>
        <w:rPr>
          <w:color w:val="555555"/>
          <w:sz w:val="17"/>
        </w:rPr>
        <w:t xml:space="preserve">Zitiervorschlag: § 7a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