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FlaggRG</w:t>
      </w:r>
    </w:p>
    <w:p>
      <w:r>
        <w:rPr>
          <w:color w:val="555555"/>
          <w:sz w:val="18"/>
        </w:rPr>
        <w:t xml:space="preserve">Flaggenrechtsgesetz</w:t>
      </w:r>
    </w:p>
    <w:p>
      <w:r>
        <w:rPr>
          <w:color w:val="555555"/>
          <w:sz w:val="18"/>
        </w:rPr>
        <w:t xml:space="preserve">Stand: 01.07.2026 (konsolidierte Textfassung, kein amtliches Inkrafttretensdatum)</w:t>
      </w:r>
    </w:p>
    <w:p>
      <w:r>
        <w:t xml:space="preserve">(1) Die Flaggenbehörde kann in den Fällen</w:t>
      </w:r>
    </w:p>
    <w:p>
      <w:pPr>
        <w:ind w:left="420"/>
      </w:pPr>
      <w:r>
        <w:t xml:space="preserve">1. des § 1 Absatz 1, auch in Verbindung mit Absatz 2, und</w:t>
      </w:r>
    </w:p>
    <w:p>
      <w:pPr>
        <w:ind w:left="420"/>
      </w:pPr>
      <w:r>
        <w:t xml:space="preserve">2. des § 2 Absatz 1 bis 3</w:t>
      </w:r>
    </w:p>
    <w:p>
      <w:r>
        <w:t xml:space="preserve">dem Reeder oder Ausrüster eines im Schiffsregister eingetragenen Seeschiffes auf seinen Antrag für einen Zeitraum von längstens zwei Jahren widerruflich unter den Voraussetzungen der Sätze 2 und 3 genehmigen, dass das Schiff anstelle der Bundesflagge eine andere Nationalflagge führt, deren Führung nach dem maßgeblichen ausländischen Recht erlaubt ist (Ausflaggungsgenehmigung). Die Ausflaggungsgenehmigung darf nur erteilt werden, wenn der Antragsteller nachweist, dass er die durch den Flaggenwechsel hervorgerufenen Nachteile für den Schifffahrtsstandort nach Maßgabe der Absätze 2 und 3 ausgeglichen hat. Ist der Antragsteller nicht der Eigentümer des Seeschiffes, bedarf er für den Antrag nach Satz 1 der in Textform abzugebenden Zustimmung des Eigentümers.</w:t>
      </w:r>
    </w:p>
    <w:p>
      <w:r>
        <w:t xml:space="preserve">(2) Ein Ausgleich im Sinne des Absatzes 1 Satz 2 ist erbracht, wenn der Antragsteller sich für jedes auszuflaggende Seeschiff verpflichtet, während des in der Anlage festgelegten Zeitraumes mindestens einen Platz zur seefahrtbezogenen Ausbildung an Bord des ausgeflaggten Seeschiffes ständig besetzt zu halten und die seefahrtbezogene Ausbildung durchzuführen nach Maßgabe</w:t>
      </w:r>
    </w:p>
    <w:p>
      <w:pPr>
        <w:ind w:left="420"/>
      </w:pPr>
      <w:r>
        <w:t xml:space="preserve">1. der See-Berufsausbildungsverordnung oder</w:t>
      </w:r>
    </w:p>
    <w:p>
      <w:pPr>
        <w:ind w:left="420"/>
      </w:pPr>
      <w:r>
        <w:t xml:space="preserve">2. der Seeleute-Befähigungsverordnung einschließlich der vom Bundesministerium für Verkehr herausgegebenen Richtlinien für die Anerkennung der praktischen Ausbildung und Seefahrtzeit als</w:t>
      </w:r>
    </w:p>
    <w:p>
      <w:pPr>
        <w:ind w:left="780"/>
      </w:pPr>
      <w:r>
        <w:t xml:space="preserve">a) nautischer/nautische Offiziersassistent/-in (VkBl. 2018 S. 365),</w:t>
      </w:r>
    </w:p>
    <w:p>
      <w:pPr>
        <w:ind w:left="780"/>
      </w:pPr>
      <w:r>
        <w:t xml:space="preserve">b) technischer/technische Offiziersassistent/-in (VkBl. 2024 S. 186) oder</w:t>
      </w:r>
    </w:p>
    <w:p>
      <w:pPr>
        <w:ind w:left="780"/>
      </w:pPr>
      <w:r>
        <w:t xml:space="preserve">c) elektrotechnischer/elektrotechnische Offiziersassistent/-in (VkBl. 2018 S. 883).</w:t>
      </w:r>
    </w:p>
    <w:p>
      <w:r>
        <w:t xml:space="preserve">Der in Satz 1 maßgebliche Zeitraum beginnt mit Wirksamwerden der jeweiligen Ausflaggungsgenehmigung. Das Beenden eines Ausbildungsverhältnisses wegen Ablaufes des Zeitraumes nach Satz 1 ist nicht zulässig. Der Inhaber der Genehmigung hat durch geeignete Aufzeichnungen und Unterlagen drei Monate vor Ablauf jeden Jahres, für das die Ausflaggung nach Absatz 1 genehmigt ist, nachzuweisen, dass er seine Verpflichtung nach Satz 1 erfüllt oder erfüllt hat. Die Aufzeichnungen und Unterlagen sind für die Dauer von fünf Jahren, gerechnet ab dem ersten Tag des Jahres, das auf das Jahr der Erteilung der Genehmigung folgt, aufzubewahren.</w:t>
      </w:r>
    </w:p>
    <w:p>
      <w:r>
        <w:t xml:space="preserve">(3) Macht der Antragsteller geltend, der Verpflichtung nach Absatz 2 nicht oder nicht vollständig nachkommen zu können, ist auf Antrag zuzulassen, dass der Antragsteller, statt eine Verpflichtung nach Absatz 2 einzugehen, einen Ablösebetrag an eine vom Verband Deutscher Reeder errichtete und von der Flaggenbehörde im Bundesanzeiger bekannt gemachte Einrichtung zu entrichten hat. Der Antrag nach Satz 1 kann zusammen mit dem Antrag auf die Ausflaggungsgenehmigung gestellt werden. Die Ausflaggungsgenehmigung darf erst erteilt werden, wenn die Zahlung des Ablösebetrages nachgewiesen ist. Zweck der Einrichtung muss es sein, die nautische und technische Ausbildung, Qualifizierung und Fortbildung von Besatzungsmitgliedern zu fördern, die auf in inländischen Schiffsregistern eingetragenen Seeschiffen beschäftigt sind.</w:t>
      </w:r>
    </w:p>
    <w:p>
      <w:r>
        <w:t xml:space="preserve">(4) Wird die nach Absatz 2 eingegangene Verpflichtung nicht oder nicht mehr erfüllt, ist für die Zeit ab dem Beginn der Wirksamkeit der Ausflaggungsgenehmigung der Ablösebetrag nachzuzahlen und im Übrigen die Ausflaggungsgenehmigung zu widerrufen. Vom Widerruf kann abgesehen werden, wenn der Inhaber der Genehmigung binnen einer von der Flaggenbehörde festgesetzten angemessenen Frist für die verbleibende Dauer der Wirksamkeit der Ausflaggungsgenehmigung einen Ablösebetrag im Sinne des Absatzes 3 entrichtet hat. Stellt die Flaggenbehörde fest, dass die Ausbildungsverpflichtung mindestens zur Hälfte erfüllt worden ist, so ist der Ablösebetrag anteilig für die Monate nachzuzahlen, für die die Ausbildungsverpflichtung nicht erfüllt wurde. Die Flaggenbehörde hat die Einrichtung über die teilweise oder vollständige Nichterfüllung der Ausbildungsverpflichtung sowie über die Anzahl der Monate, für die der Ablösebetrag nachzuzahlen ist, zu informieren. Die Flaggenbehörde kann die Berufsbildungsstelle Seeschifffahrt e. V. beauftragen, bei der Feststellung der Erfüllung der Ausbildungsverpflichtung mitzuwirken. Die §§ 48 und 49 des Verwaltungsverfahrensgesetzes bleiben unberührt.</w:t>
      </w:r>
    </w:p>
    <w:p>
      <w:r>
        <w:t xml:space="preserve">(5) Der Ablösebetrag nach Absatz 3 ist von der Einrichtung für jede Größenklasse der Seeschiffe in einer Höhe festzusetzen. Die Festsetzung hat sich an den gemittelten Kosten einer Ausbildung im Sinne des Absatzes 2 je Kalenderjahr zu orientieren; dabei sind die Besatzungsstärke und die Größe der auszuflaggenden Schiffe zu berücksichtigen. Dabei ist ein Mindestbetrag von 2 000 Euro je Jahr und ein Höchstbetrag von 30 000 Euro je Jahr einzuhalten. Näheres regelt die Einrichtung. Die erstmalige und jede geänderte Festsetzung der Höhe des Ablösebetrages bedarf der Genehmigung der Flaggenbehörde. Die erstmalige und jede geänderte Festsetzung ist von der Einrichtung zusammen mit der Genehmigung der Flaggenbehörde im Bundesanzeiger zu veröffentlichen. Die Einrichtung hat der Flaggenbehörde jede beabsichtigte Festsetzung der Höhe des Ablösebetrages zwei Monate vor der beabsichtigten Bekanntmachung zur Genehmigung vorzulegen. Wird der Ablösebetrag geändert, gilt die Änderung nur für Ausflaggungen, die in dem Kalenderjahr beantragt werden, das dem Jahr der Änderung folgt.</w:t>
      </w:r>
    </w:p>
    <w:p>
      <w:r>
        <w:t xml:space="preserve">(6) Die Einrichtung muss der Flaggenbehörde jeweils bis zum Ablauf des 30. Juni eines Jahres geeignete Nachweise für die ordnungsgemäße Einnahme und Verwendung der Ablösebeträge im Vorjahr vorlegen. Die Flaggenbehörde hat zu prüfen, ob die Finanzmittel ordnungsgemäß eingenommen und entsprechend dem Förderzweck nach Absatz 3 Satz 4 verwendet worden sind. Stellt die Flaggenbehörde dabei weiteren Prüfbedarf fest, so kann sie die Einrichtung auffordern, weitere Nachweise vorzulegen oder erneut zu berichten.</w:t>
      </w:r>
    </w:p>
    <w:p>
      <w:r>
        <w:rPr>
          <w:color w:val="555555"/>
          <w:sz w:val="17"/>
        </w:rPr>
        <w:t xml:space="preserve">Zitiervorschlag: § 7 FlaggRG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https://recht.nulegal.eu/gesetze/FlaggRG/7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