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Auf Seeschiffen, die nach § 1 Absatz 1, auch in Verbindung mit Absatz 2, zum Führen der Bundesflagge verpflichtet sind, darf keine andere Nationalflagge als die Bundesflagge geführt werden. Satz 1 gilt auch für Seeschiffe, für die ein Schiffszertifikat, ein Flaggenschein, eine Flaggenbescheinigung oder ein Flaggenzertifikat ausgestellt worden ist.</w:t>
      </w:r>
    </w:p>
    <w:p>
      <w:r>
        <w:t xml:space="preserve">(2) Unberührt bleiben Vorschriften über die Führung von Dienstflaggen anstelle oder neben der Bundesflagge durch Seeschiffe im öffentlichen Dienst.</w:t>
      </w:r>
    </w:p>
    <w:p>
      <w:r>
        <w:rPr>
          <w:color w:val="555555"/>
          <w:sz w:val="17"/>
        </w:rPr>
        <w:t xml:space="preserve">Zitiervorschlag: § 6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