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Vor der Ausstellung der in § 3 Absatz 1 genannten Ausweise darf die Berechtigung zum Führen der Bundesflagge nicht ausgeübt werden. Satz 1 gilt nicht in den Fällen des § 1, wenn für das Seeschiff keine Pflicht zur Anmeldung im Schiffsregister besteht.</w:t>
      </w:r>
    </w:p>
    <w:p>
      <w:r>
        <w:t xml:space="preserve">(2) Der Führer eines Seeschiffes und der sonst für das Seeschiff Verantwortliche haben einen Ausweis nach § 3 Absatz 1 Nummer 1 bis 3 oder einen von dem Registergericht beglaubigten Auszug aus dem Schiffszertifikat während der Reise stets an Bord des Schiffes mitzuführen.</w:t>
      </w:r>
    </w:p>
    <w:p>
      <w:r>
        <w:rPr>
          <w:color w:val="555555"/>
          <w:sz w:val="17"/>
        </w:rPr>
        <w:t xml:space="preserve">Zitiervorschlag: § 4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