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FlaggRG</w:t>
      </w:r>
    </w:p>
    <w:p>
      <w:r>
        <w:rPr>
          <w:color w:val="555555"/>
          <w:sz w:val="18"/>
        </w:rPr>
        <w:t xml:space="preserve">Flaggenrechtsgesetz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Bei Anwendung dieses Gesetzes und der aufgrund des § 15 erlassenen Verordnungen auf Kauffahrteischiffe werden</w:t>
      </w:r>
    </w:p>
    <w:p>
      <w:pPr>
        <w:ind w:left="420"/>
      </w:pPr>
      <w:r>
        <w:t xml:space="preserve">1. Unionsbürger und die Staatsangehörigen eines Vertragsstaates des Abkommens über den Europäischen Wirtschaftsraum sowie</w:t>
      </w:r>
    </w:p>
    <w:p>
      <w:pPr>
        <w:ind w:left="420"/>
      </w:pPr>
      <w:r>
        <w:t xml:space="preserve">2. die Gesellschaften im Sinne des Artikels 58 des Vertrages zur Gründung der Europäischen Wirtschaftsgemeinschaft und die Gesellschaften im Sinne des Artikels 34 des Abkommens über den Europäischen Wirtschaftsraum</w:t>
      </w:r>
    </w:p>
    <w:p>
      <w:r>
        <w:t xml:space="preserve">gleichbehandelt.</w:t>
      </w:r>
    </w:p>
    <w:p>
      <w:r>
        <w:rPr>
          <w:color w:val="555555"/>
          <w:sz w:val="17"/>
        </w:rPr>
        <w:t xml:space="preserve">Zitiervorschlag: § 23 FlaggRG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https://recht.nulegal.eu/gesetze/FlaggRG/23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