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FlaggRG</w:t>
      </w:r>
    </w:p>
    <w:p>
      <w:r>
        <w:rPr>
          <w:color w:val="555555"/>
          <w:sz w:val="18"/>
        </w:rPr>
        <w:t xml:space="preserve">Flaggenrechtsgesetz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Ordnungswidrig handelt, wer eine in § 16 bezeichnete Handlung fahrlässig begeht.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entgegen § 2 Absatz 5 Satz 1, § 7a Absatz 2 oder § 11 Absatz 3 eine Anzeige nicht, nicht richtig, nicht vollständig oder nicht rechtzeitig erstattet,</w:t>
      </w:r>
    </w:p>
    <w:p>
      <w:pPr>
        <w:ind w:left="420"/>
      </w:pPr>
      <w:r>
        <w:t xml:space="preserve">2. entgegen § 4 Absatz 2 einen Ausweis oder einen dort genannten Auszug nicht mitführt,</w:t>
      </w:r>
    </w:p>
    <w:p>
      <w:pPr>
        <w:ind w:left="420"/>
      </w:pPr>
      <w:r>
        <w:t xml:space="preserve">3. entgegen § 8 Absatz 2 Satz 1, auch in Verbindung mit Absatz 5 Satz 3, jeweils auch in Verbindung mit einer Rechtsverordnung nach § 15 Absatz 1 Nummer 4, die Bundesflagge nicht oder nicht in der vorgeschriebenen Weise führt,</w:t>
      </w:r>
    </w:p>
    <w:p>
      <w:pPr>
        <w:ind w:left="420"/>
      </w:pPr>
      <w:r>
        <w:t xml:space="preserve">4. entgegen § 8 Absatz 3 die Bundesflagge nicht, nicht richtig, oder nicht rechtzeitig zeigt,</w:t>
      </w:r>
    </w:p>
    <w:p>
      <w:pPr>
        <w:ind w:left="420"/>
      </w:pPr>
      <w:r>
        <w:t xml:space="preserve">5. entgegen § 9 Absatz 1 Satz 1, auch in Verbindung mit Satz 2 oder 3, oder Absatz 2 nicht sicherstellt, dass ein Seeschiff einen dort genannten Namen in der dort genannten Weise führt,</w:t>
      </w:r>
    </w:p>
    <w:p>
      <w:pPr>
        <w:ind w:left="420"/>
      </w:pPr>
      <w:r>
        <w:t xml:space="preserve">6. entgegen § 9a Absatz 1 oder 2 nicht dafür sorgt, dass eine IMO-Schiffsidentifikationsnummer oder eine dort genannte Markierung angebracht ist, oder</w:t>
      </w:r>
    </w:p>
    <w:p>
      <w:pPr>
        <w:ind w:left="420"/>
      </w:pPr>
      <w:r>
        <w:t xml:space="preserve">7. entgegen § 13 Absatz 2 eine Stammdokumentation nicht, nicht richtig oder nicht vollständig mitführt.</w:t>
      </w:r>
    </w:p>
    <w:p>
      <w:r>
        <w:t xml:space="preserve">(3) Die Ordnungswidrigkeit kann mit einer Geldbuße bis zu fünftausend Euro geahndet werden.</w:t>
      </w:r>
    </w:p>
    <w:p>
      <w:r>
        <w:t xml:space="preserve">(4) Verwaltungsbehörde im Sinne des § 36 Absatz 1 Nummer 1 des Gesetzes über Ordnungswidrigkeiten ist die Flaggenbehörde.</w:t>
      </w:r>
    </w:p>
    <w:p>
      <w:r>
        <w:rPr>
          <w:color w:val="555555"/>
          <w:sz w:val="17"/>
        </w:rPr>
        <w:t xml:space="preserve">Zitiervorschlag: § 17 FlaggRG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https://recht.nulegal.eu/gesetze/FlaggRG/17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