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Mit Freiheitsstrafe bis zu einem Jahr oder mit Geldstrafe wird bestraft, wer als Führer eines Seeschiffes oder als sonst für das Seeschiff Verantwortlicher</w:t>
      </w:r>
    </w:p>
    <w:p>
      <w:pPr>
        <w:ind w:left="420"/>
      </w:pPr>
      <w:r>
        <w:t xml:space="preserve">1. entgegen § 6 Absatz 1 Satz 1, auch in Verbindung mit Satz 2, eine andere Nationalflagge als die Bundesflagge führt oder</w:t>
      </w:r>
    </w:p>
    <w:p>
      <w:pPr>
        <w:ind w:left="420"/>
      </w:pPr>
      <w:r>
        <w:t xml:space="preserve">2. entgegen § 8 Absatz 1 die Bundesflagge führt.</w:t>
      </w:r>
    </w:p>
    <w:p>
      <w:r>
        <w:rPr>
          <w:color w:val="555555"/>
          <w:sz w:val="17"/>
        </w:rPr>
        <w:t xml:space="preserve">Zitiervorschlag: § 16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