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Flaggenbehörde hat für jedes Seeschiff im Sinne von Kapitel XI-1 Regel 5 Absatz 1 der Anlage des Internationalen Übereinkommens von 1974 zum Schutz des menschlichen Lebens auf See, das zum Führen der Bundesflagge verpflichtet oder berechtigt ist, eine lückenlose Stammdatendokumentation auszustellen.</w:t>
      </w:r>
    </w:p>
    <w:p>
      <w:r>
        <w:t xml:space="preserve">(2) Der Führer eines Seeschiffes im Sinne von Absatz 1 hat die gesamte lückenlose Stammdatendokumentation des Seeschiffes an Bord mitzuführen.</w:t>
      </w:r>
    </w:p>
    <w:p>
      <w:r>
        <w:rPr>
          <w:color w:val="555555"/>
          <w:sz w:val="17"/>
        </w:rPr>
        <w:t xml:space="preserve">Zitiervorschlag: § 13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