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FlaggRG</w:t>
      </w:r>
    </w:p>
    <w:p>
      <w:r>
        <w:rPr>
          <w:color w:val="555555"/>
          <w:sz w:val="18"/>
        </w:rPr>
        <w:t xml:space="preserve">Flaggenrechtsgesetz</w:t>
      </w:r>
    </w:p>
    <w:p>
      <w:r>
        <w:rPr>
          <w:color w:val="555555"/>
          <w:sz w:val="18"/>
        </w:rPr>
        <w:t xml:space="preserve">Stand: 01.07.2026 (konsolidierte Textfassung, kein amtliches Inkrafttretensdatum)</w:t>
      </w:r>
    </w:p>
    <w:p>
      <w:r>
        <w:t xml:space="preserve">(1) Die Flaggenbehörde hat zur Erfüllung ihrer gesetzlichen Aufgaben ein Verzeichnis über alle Seeschiffe zu führen, denen ein amtlicher Ausweis nach § 3 Absatz 1 ausgestellt worden ist (Flaggenregister). Zu diesem Zweck darf die Flaggenbehörde die erforderlichen personenbezogenen Daten verarbeiten. Die Daten sind zu löschen, wenn sie für die Erfüllung der gesetzlichen Aufgaben nicht mehr benötigt werden, spätestens jedoch zehn Jahre nach Austragung aus dem jeweiligen Register.</w:t>
      </w:r>
    </w:p>
    <w:p>
      <w:r>
        <w:t xml:space="preserve">(2) Zusätzlich hat die Flaggenbehörde das Internationale Seeschifffahrtsregister zum Zwecke des § 21 Absatz 4 zu führen. Zum Führen der Bundesflagge verpflichtete oder berechtigte Kauffahrteischiffe sind auf Antrag des Eigentümers in das Internationale Seeschifffahrtsregister einzutragen, wenn sie überwiegend im internationalen Verkehr betrieben werden. Absatz 1 Satz 2 und 3 gilt entsprechend.</w:t>
      </w:r>
    </w:p>
    <w:p>
      <w:r>
        <w:t xml:space="preserve">(3) Das Flaggenregister und das Internationale Seeschifffahrtsregister sind keine öffentlichen Register.</w:t>
      </w:r>
    </w:p>
    <w:p>
      <w:r>
        <w:rPr>
          <w:color w:val="555555"/>
          <w:sz w:val="17"/>
        </w:rPr>
        <w:t xml:space="preserve">Zitiervorschlag: § 12 FlaggRG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https://recht.nulegal.eu/gesetze/FlaggRG/12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