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VI. FlaggAnO 1996</w:t>
      </w:r>
    </w:p>
    <w:p>
      <w:r>
        <w:rPr>
          <w:color w:val="555555"/>
          <w:sz w:val="18"/>
        </w:rPr>
        <w:t xml:space="preserve">Anordnung über die deutschen Flaggen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Anordnung tritt am Tage nach der Verkündung in Kraft.</w:t>
      </w:r>
    </w:p>
    <w:p>
      <w:r>
        <w:rPr>
          <w:color w:val="555555"/>
          <w:sz w:val="17"/>
        </w:rPr>
        <w:t xml:space="preserve">Zitiervorschlag: VI. FlaggAnO 1996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https://recht.nulegal.eu/gesetze/FlaggAnO%201996/vi.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