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V. FlaggAnO 1996</w:t>
      </w:r>
    </w:p>
    <w:p>
      <w:r>
        <w:rPr>
          <w:color w:val="555555"/>
          <w:sz w:val="18"/>
        </w:rPr>
        <w:t xml:space="preserve">Anordnung über die deutschen Flaggen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Die Führung der Bundesdienstflagge an Dienstkraftfahrzeugen der deutschen Vertretungen im Ausland regelt das Auswärtige Amt.</w:t>
      </w:r>
    </w:p>
    <w:p>
      <w:pPr>
        <w:ind w:left="420"/>
      </w:pPr>
      <w:r>
        <w:t xml:space="preserve">2. Die Flaggenführung bei der Bundeswehr und bei der Bundespolizei wird besonders geregelt.</w:t>
      </w:r>
    </w:p>
    <w:p>
      <w:r>
        <w:rPr>
          <w:color w:val="555555"/>
          <w:sz w:val="17"/>
        </w:rPr>
        <w:t xml:space="preserve">Zitiervorschlag: V. FlaggAnO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https://recht.nulegal.eu/gesetze/FlaggAnO%201996/v.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