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IV. FlaggAnO 1996</w:t>
      </w:r>
    </w:p>
    <w:p>
      <w:r>
        <w:rPr>
          <w:color w:val="555555"/>
          <w:sz w:val="18"/>
        </w:rPr>
        <w:t xml:space="preserve">Anordnung über die deutschen Flaggen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Über Änderungen des Anhangs 2 sowie bei Zweifeln hinsichtlich der Berechtigung zum Führen der Bundesdienstflagge oder des anzuwendenden Musters nach Anhang 3 entscheidet das Bundesministerium des Innern im Benehmen mit dem jeweils zuständigen Verfassungsorgan oder Bundesministerium.</w:t>
      </w:r>
    </w:p>
    <w:p>
      <w:r>
        <w:rPr>
          <w:color w:val="555555"/>
          <w:sz w:val="17"/>
        </w:rPr>
        <w:t xml:space="preserve">Zitiervorschlag: IV. FlaggAnO 1996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https://recht.nulegal.eu/gesetze/FlaggAnO%201996/iv.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