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FlaggAnO 1996</w:t>
      </w:r>
    </w:p>
    <w:p>
      <w:r>
        <w:rPr>
          <w:color w:val="555555"/>
          <w:sz w:val="18"/>
        </w:rPr>
        <w:t xml:space="preserve">Anordnung über die deutschen Flaggen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 Dienstkraftfahrzeugen können bei dienstlichen Fahrten die in den Anhängen 2 und 3 beschriebenen Flaggen geführt werden, wenn sich der Amtsinhaber oder die Amtsinhaberin oder in den in Nummer 2 des Anhangs 2 bezeichneten Fällen der Stellvertreter oder die Stellvertreterin im Fahrzeug befindet. Die Flagge ist am rechten Kotflügel anzubringen.</w:t>
      </w:r>
    </w:p>
    <w:p>
      <w:r>
        <w:rPr>
          <w:color w:val="555555"/>
          <w:sz w:val="17"/>
        </w:rPr>
        <w:t xml:space="preserve">Zitiervorschlag: III. FlaggAnO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https://recht.nulegal.eu/gesetze/FlaggAnO%201996/iii.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