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II. FlaggAnO 1996</w:t>
      </w:r>
    </w:p>
    <w:p>
      <w:r>
        <w:rPr>
          <w:color w:val="555555"/>
          <w:sz w:val="18"/>
        </w:rPr>
        <w:t xml:space="preserve">Anordnung über die deutschen Flaggen</w:t>
      </w:r>
    </w:p>
    <w:p>
      <w:r>
        <w:rPr>
          <w:color w:val="555555"/>
          <w:sz w:val="18"/>
        </w:rPr>
        <w:t xml:space="preserve">Stand: 10.06.2019 (konsolidierte Textfassung, kein amtliches Inkrafttretensdatum)</w:t>
      </w:r>
    </w:p>
    <w:p>
      <w:r>
        <w:t xml:space="preserve">Alle Stellen des Bundes führen die Bundesdienstflagge. Der Bundespräsident oder die Bundespräsidentin führt die Standarte am jeweiligen Amtssitz. Dienstgebäude des Bundes können mit der Bundesflagge oder mit der Bundesdienstflagge beflaggt werden; dies gilt auch für Wasserfahrzeuge im öffentlichen Dienst des Bundes.</w:t>
      </w:r>
    </w:p>
    <w:p>
      <w:r>
        <w:rPr>
          <w:color w:val="555555"/>
          <w:sz w:val="17"/>
        </w:rPr>
        <w:t xml:space="preserve">Zitiervorschlag: II. FlaggAnO 1996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https://recht.nulegal.eu/gesetze/FlaggAnO%201996/ii.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