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FlUUG — Unterrichtung ausländischer Staaten und der Internationalen Zivilluftfahrt-Organisation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Ereignet sich im Geltungsbereich dieses Gesetzes ein Unfall oder eine schwere Störung, unterrichtet die Bundesstelle unverzüglich auf dem schnellstmöglichen Wege</w:t>
      </w:r>
    </w:p>
    <w:p>
      <w:pPr>
        <w:ind w:left="420"/>
      </w:pPr>
      <w:r>
        <w:t xml:space="preserve">1. den Eintragungsstaat,</w:t>
      </w:r>
    </w:p>
    <w:p>
      <w:pPr>
        <w:ind w:left="420"/>
      </w:pPr>
      <w:r>
        <w:t xml:space="preserve">2. den Halterstaat,</w:t>
      </w:r>
    </w:p>
    <w:p>
      <w:pPr>
        <w:ind w:left="420"/>
      </w:pPr>
      <w:r>
        <w:t xml:space="preserve">3. den Herstellerstaat,</w:t>
      </w:r>
    </w:p>
    <w:p>
      <w:pPr>
        <w:ind w:left="420"/>
      </w:pPr>
      <w:r>
        <w:t xml:space="preserve">4. den Entwurfsstaat des Luftfahrzeugs und</w:t>
      </w:r>
    </w:p>
    <w:p>
      <w:pPr>
        <w:ind w:left="420"/>
      </w:pPr>
      <w:r>
        <w:t xml:space="preserve">5. bei Luftfahrzeugen mit einer Höchstmasse von mehr als 2.250 kg die Internationale Zivilluftfahrt-Organisation.</w:t>
      </w:r>
    </w:p>
    <w:p>
      <w:r>
        <w:t xml:space="preserve">(2) Form und Inhalt der Unterrichtung richten sich nach den international üblichen Verfahren. Soweit die Unterrichtung sich auf personenbezogene Daten erstreckt, ist § 26 Abs. 4 anzuwenden.</w:t>
      </w:r>
    </w:p>
    <w:p>
      <w:r>
        <w:rPr>
          <w:color w:val="555555"/>
          <w:sz w:val="17"/>
        </w:rPr>
        <w:t xml:space="preserve">Zitiervorschlag: § 6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