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FlUUG — Zusammenarbeit mit anderen Staaten</w:t>
      </w:r>
    </w:p>
    <w:p>
      <w:r>
        <w:rPr>
          <w:color w:val="555555"/>
          <w:sz w:val="18"/>
        </w:rPr>
        <w:t xml:space="preserve">Flugunfall-Untersuchungs-Gesetz</w:t>
      </w:r>
    </w:p>
    <w:p>
      <w:r>
        <w:rPr>
          <w:color w:val="555555"/>
          <w:sz w:val="18"/>
        </w:rPr>
        <w:t xml:space="preserve">Stand: 02.12.2019 (konsolidierte Textfassung, kein amtliches Inkrafttretensdatum)</w:t>
      </w:r>
    </w:p>
    <w:p>
      <w:r>
        <w:t xml:space="preserve">(1) Wird ein Unfall oder eine Störung eines von diesem Gesetz erfaßten Luftfahrzeugs außerhalb des Geltungsbereichs dieses Gesetzes durch eine ausländische Behörde untersucht, so kann die Bundesstelle einen bevollmächtigten Vertreter zur Teilnahme an der Untersuchung entsenden, wenn die Untersuchung eines vergleichbaren Ereignisses in der Bundesrepublik Deutschland nicht mit einem summarischen Untersuchungsbericht abgeschlossen werden würde. In diesem Fall sind auf Vorschlag des Halters ein oder mehrere Berater des bevollmächtigten Vertreters dem Staat, der die Untersuchung durchführt, zu benennen. Gleiches gilt für die Teilnahme von Vertretern des Herstellers des Luftfahrzeugs oder seiner Teile. Die Bundesstelle übermittelt der ausländischen Behörde alle verfügbaren erforderlichen Informationen; der Empfänger ist darauf hinzuweisen, daß die übermittelten Daten nur zu dem Zweck verarbeitet werden dürfen, zu deren Erfüllung sie ihm übermittelt worden sind.</w:t>
      </w:r>
    </w:p>
    <w:p>
      <w:r>
        <w:t xml:space="preserve">(2) Bei Bedarf kann die Bundesstelle die zuständigen Stellen anderer Staaten darum ersuchen, zur Verfügung zu stellen:</w:t>
      </w:r>
    </w:p>
    <w:p>
      <w:pPr>
        <w:ind w:left="420"/>
      </w:pPr>
      <w:r>
        <w:t xml:space="preserve">1. Anlagen, Einrichtungen und Geräte für</w:t>
      </w:r>
    </w:p>
    <w:p>
      <w:pPr>
        <w:ind w:left="780"/>
      </w:pPr>
      <w:r>
        <w:t xml:space="preserve">a) die technische Untersuchung von Wrackteilen, Bordausrüstungen und anderen für die Untersuchung wichtigen Gegenständen,</w:t>
      </w:r>
    </w:p>
    <w:p>
      <w:pPr>
        <w:ind w:left="780"/>
      </w:pPr>
      <w:r>
        <w:t xml:space="preserve">b) die Auswertung der Aufzeichnungen der Flugschreiber,</w:t>
      </w:r>
    </w:p>
    <w:p>
      <w:pPr>
        <w:ind w:left="780"/>
      </w:pPr>
      <w:r>
        <w:t xml:space="preserve">c) die elektronische Speicherung und Auswertung von Unfalldaten,</w:t>
      </w:r>
    </w:p>
    <w:p>
      <w:pPr>
        <w:ind w:left="420"/>
      </w:pPr>
      <w:r>
        <w:t xml:space="preserve">2. Untersuchungsfachkräfte für bestimmte Aufgaben anläßlich der Untersuchung eines Unfalls von besonderer Bedeutung und Schwere.</w:t>
      </w:r>
    </w:p>
    <w:p>
      <w:r>
        <w:t xml:space="preserve">(3) Die Bundesstelle kann anderen Staaten diese Hilfe auf Ersuchen gewähren. Sie wird auf der Grundlage der Gegenseitigkeit kostenlos gewährt. Die Regelung in Absatz 1 Satz 4 gilt entsprechend.</w:t>
      </w:r>
    </w:p>
    <w:p>
      <w:r>
        <w:rPr>
          <w:color w:val="555555"/>
          <w:sz w:val="17"/>
        </w:rPr>
        <w:t xml:space="preserve">Zitiervorschlag: § 5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