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FlUUG — Bußgeldvorschriften</w:t>
      </w:r>
    </w:p>
    <w:p>
      <w:r>
        <w:rPr>
          <w:color w:val="555555"/>
          <w:sz w:val="18"/>
        </w:rPr>
        <w:t xml:space="preserve">Flugunfall-Untersuchungs-Gesetz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12 Abs. 1 Satz 2 die Unfallstelle betritt,</w:t>
      </w:r>
    </w:p>
    <w:p>
      <w:pPr>
        <w:ind w:left="420"/>
      </w:pPr>
      <w:r>
        <w:t xml:space="preserve">2. entgegen § 12 Abs. 2 Satz 1 die Unfallstelle, Unfallspuren, Wrackteile, Trümmerstücke oder sonstigen Inhalt des Luftfahrzeugs vor der Freigabe verändert,</w:t>
      </w:r>
    </w:p>
    <w:p>
      <w:pPr>
        <w:ind w:left="420"/>
      </w:pPr>
      <w:r>
        <w:t xml:space="preserve">3. ohne Zustimmung nach § 14 Abs. 7 Satz 1 sich zum Stand der Untersuchung oder zu einzelnen Ergebnissen öffentlich äußert oder</w:t>
      </w:r>
    </w:p>
    <w:p>
      <w:pPr>
        <w:ind w:left="420"/>
      </w:pPr>
      <w:r>
        <w:t xml:space="preserve">4. entgegen § 16 Abs. 3 Satz 1 der Pflicht zu wahrheitsgemäßen Aussage oder zur Erstattung von Gutachten nicht nachkommt.</w:t>
      </w:r>
    </w:p>
    <w:p>
      <w:r>
        <w:t xml:space="preserve">(2) Die Ordnungswidrigkeit kann mit einer Geldbuße geahndet werden.</w:t>
      </w:r>
    </w:p>
    <w:p>
      <w:r>
        <w:t xml:space="preserve">(3) Verwaltungsbehörde im Sinne des § 36 Abs. 1 Nr. 1 des Gesetzes über Ordnungswidrigkeiten ist das Luftfahrt-Bundesamt.</w:t>
      </w:r>
    </w:p>
    <w:p>
      <w:r>
        <w:rPr>
          <w:color w:val="555555"/>
          <w:sz w:val="17"/>
        </w:rPr>
        <w:t xml:space="preserve">Zitiervorschlag: § 30 FlUUG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https://recht.nulegal.eu/gesetze/FlUUG/30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