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FlUUG — Beteiligung am Such- und Rettungsdienst</w:t>
      </w:r>
    </w:p>
    <w:p>
      <w:r>
        <w:rPr>
          <w:color w:val="555555"/>
          <w:sz w:val="18"/>
        </w:rPr>
        <w:t xml:space="preserve">Flugunfall-Untersuchungs-Gesetz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Bundesstelle wirkt beim Such- und Rettungsdienst mit, indem sie notwendige Informationen beschafft, an diesen weitergibt und ihn berät. Vor der Einstellung der Suche nach einem vermißten Luftfahrzeug ist zwischen dem Such- und Rettungsdienst und der Bundesstelle Einvernehmen herzustellen.</w:t>
      </w:r>
    </w:p>
    <w:p>
      <w:r>
        <w:rPr>
          <w:color w:val="555555"/>
          <w:sz w:val="17"/>
        </w:rPr>
        <w:t xml:space="preserve">Zitiervorschlag: § 29 FlUUG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https://recht.nulegal.eu/gesetze/FlUUG/29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