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FlUUG — Flugsicherheitsarbeit</w:t>
      </w:r>
    </w:p>
    <w:p>
      <w:r>
        <w:rPr>
          <w:color w:val="555555"/>
          <w:sz w:val="18"/>
        </w:rPr>
        <w:t xml:space="preserve">Flugunfall-Untersuchungs-Gesetz</w:t>
      </w:r>
    </w:p>
    <w:p>
      <w:r>
        <w:rPr>
          <w:color w:val="555555"/>
          <w:sz w:val="18"/>
        </w:rPr>
        <w:t xml:space="preserve">Stand: 10.06.2019 (konsolidierte Textfassung, kein amtliches Inkrafttretensdatum)</w:t>
      </w:r>
    </w:p>
    <w:p>
      <w:r>
        <w:t xml:space="preserve">(1) Die Bundesstelle leistet Flugsicherheitsarbeit mit dem Ziel der Flugunfallverhütung, indem sie Statistiken führt und auswertet, Flugunfallinformationen veröffentlicht und sich an Vortragsveranstaltungen beteiligt.</w:t>
      </w:r>
    </w:p>
    <w:p>
      <w:r>
        <w:t xml:space="preserve">(2) Die Bundesstelle führt eine anonymisierte Statistik über Unfälle und schwere Störungen, die jährlich zu veröffentlichen ist. Sie dient dazu, eine aktuelle, allumfassende und zuverlässige Datenbasis über Struktur und Entwicklung der erfaßten Fälle herzustellen.</w:t>
      </w:r>
    </w:p>
    <w:p>
      <w:r>
        <w:t xml:space="preserve">(3) Die Statistik erfaßt:</w:t>
      </w:r>
    </w:p>
    <w:p>
      <w:pPr>
        <w:ind w:left="420"/>
      </w:pPr>
      <w:r>
        <w:t xml:space="preserve">1. die beteiligten Luftfahrzeuge nach Staatsangehörigkeitszeichen, Baumuster, Hersteller, Art der Beschädigung des Luftfahrzeugs, Art der Drittschäden, bei der Beförderung gefährlicher Güter die Art des Gefahrguts,</w:t>
      </w:r>
    </w:p>
    <w:p>
      <w:pPr>
        <w:ind w:left="420"/>
      </w:pPr>
      <w:r>
        <w:t xml:space="preserve">2. die Zahl der Luftfahrzeuginsassen,</w:t>
      </w:r>
    </w:p>
    <w:p>
      <w:pPr>
        <w:ind w:left="420"/>
      </w:pPr>
      <w:r>
        <w:t xml:space="preserve">3. die Zahl der verunglückten Insassen und die Unfallfolgen (tödliche, schwere, andere Verletzungen),</w:t>
      </w:r>
    </w:p>
    <w:p>
      <w:pPr>
        <w:ind w:left="420"/>
      </w:pPr>
      <w:r>
        <w:t xml:space="preserve">4. Unfallort, Datum, Hergang und Umstände des Unfalls (Betriebsphase, Art der Störung) sowie ermittelte Unfallursachen.</w:t>
      </w:r>
    </w:p>
    <w:p>
      <w:r>
        <w:t xml:space="preserve">(4) Die Bundesstelle wertet deutsche und ausländische Statistiken über Unfälle und Störungen aus. Auswertungsergebnisse und daraus resultierende Unfallinformationen werden veröffentlicht. Die Bundesstelle kann auf Anfrage Auswertungen und Statistiken gegen Kostenerstattung herstellen, soweit dadurch die ordnungsgemäße Erfüllung ihrer Aufgaben nicht beeinträchtigt wird.</w:t>
      </w:r>
    </w:p>
    <w:p>
      <w:r>
        <w:t xml:space="preserve">(5) Behörden und als gemeinnützig anerkannte Organisationen, die Flugsicherheitsarbeit leisten, erhalten die Veröffentlichungen nach den Absätzen 2 und 4 kostenlos.</w:t>
      </w:r>
    </w:p>
    <w:p>
      <w:r>
        <w:t xml:space="preserve">(6) Die Bundesstelle kann auf Anfrage Referenten zu Flugsicherungsveranstaltungen oder vergleichbaren Veranstaltungen der Polizei oder des Katastrophenschutzes entsenden, soweit dadurch die ordnungsgemäße Erfüllung der Aufgaben nicht beeinträchtigt wird.</w:t>
      </w:r>
    </w:p>
    <w:p>
      <w:r>
        <w:rPr>
          <w:color w:val="555555"/>
          <w:sz w:val="17"/>
        </w:rPr>
        <w:t xml:space="preserve">Zitiervorschlag: § 28 FlUUG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https://recht.nulegal.eu/gesetze/FlUUG/28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