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FlUUG — Verarbeitung von Daten</w:t>
      </w:r>
    </w:p>
    <w:p>
      <w:r>
        <w:rPr>
          <w:color w:val="555555"/>
          <w:sz w:val="18"/>
        </w:rPr>
        <w:t xml:space="preserve">Flugunfall-Untersuchungs-Gesetz</w:t>
      </w:r>
    </w:p>
    <w:p>
      <w:r>
        <w:rPr>
          <w:color w:val="555555"/>
          <w:sz w:val="18"/>
        </w:rPr>
        <w:t xml:space="preserve">Stand: 02.12.2019 (konsolidierte Textfassung, kein amtliches Inkrafttretensdatum)</w:t>
      </w:r>
    </w:p>
    <w:p>
      <w:r>
        <w:t xml:space="preserve">(1) Die Bundesstelle, die Untersuchungsbefugten nach § 11 und die Teilnehmer nach § 14 dürfen im Rahmen ihrer Befugnisse nach den §§ 11 und 16 personenbezogene Daten aller an dem Unfall oder der Störung beteiligten oder betroffenen Personen, sowie von Zeugen und anderen Personen, die über den Unfall oder die Störung Aussagen machen, verarbeiten, soweit dies für die Zwecke der Untersuchung nach § 3 erforderlich ist. Ebenso stellen sie die beteiligten Luftfahrzeuge nach Baumuster und Kennzeichen und die identifizierenden Kennwerte der an Bord befindlichen Gepäck- und Frachtstücke fest.</w:t>
      </w:r>
    </w:p>
    <w:p>
      <w:r>
        <w:t xml:space="preserve">(2) Vertrauliche Erklärungen und personenbezogene Daten sind durch technische und organisatorische Maßnahmen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gegen unbefugte Einsichtnahme besonders zu schützen.</w:t>
      </w:r>
    </w:p>
    <w:p>
      <w:r>
        <w:t xml:space="preserve">(3) Die Daten nach Absatz 1 werden in einem Dateisystem gespeichert oder in Akten festgehalten.</w:t>
      </w:r>
    </w:p>
    <w:p>
      <w:r>
        <w:rPr>
          <w:color w:val="555555"/>
          <w:sz w:val="17"/>
        </w:rPr>
        <w:t xml:space="preserve">Zitiervorschlag: § 25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