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FlUUG — Erteilung von Auskünften und Akteneinsicht</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(1) Die Bundesstelle kann den von dem Ereignis betroffenen Personen oder deren Rechtsbeiständen Auskünfte aus den Akten des Untersuchungsverfahrens erteilen, soweit die Auskünfte zur Feststellung, Durchsetzung oder zur Abwehr von Rechtsansprüchen im Zusammenhang mit dem Unfall oder der Störung erforderlich sind.</w:t>
      </w:r>
    </w:p>
    <w:p>
      <w:r>
        <w:t xml:space="preserve">(2) Auskunft wird zwecks Wahrung der Privatsphäre nicht erteilt hinsichtlich</w:t>
      </w:r>
    </w:p>
    <w:p>
      <w:pPr>
        <w:ind w:left="420"/>
      </w:pPr>
      <w:r>
        <w:t xml:space="preserve">1. vertraulichen Erklärungen und Angaben, die im Zusammenhang mit der Untersuchung auf Befragen der Bundesstelle abgegeben wurden; als vertraulich sind Erklärungen zu werten, die als solche abgegeben wurden und als deren Urheber die erklärende Person nicht in Erscheinung treten will oder darf,</w:t>
      </w:r>
    </w:p>
    <w:p>
      <w:pPr>
        <w:ind w:left="420"/>
      </w:pPr>
      <w:r>
        <w:t xml:space="preserve">2. Aufnahmen von persönlichen Gesprächen auf Tonaufzeichnungsgeräten und deren Umschrift,</w:t>
      </w:r>
    </w:p>
    <w:p>
      <w:pPr>
        <w:ind w:left="420"/>
      </w:pPr>
      <w:r>
        <w:t xml:space="preserve">3. medizinischer Daten einschließlich bildlicher Darstellungen von Personen,</w:t>
      </w:r>
    </w:p>
    <w:p>
      <w:r>
        <w:t xml:space="preserve">es sei denn, die betroffenen Personen haben ausdrücklich zugestimmt.</w:t>
      </w:r>
    </w:p>
    <w:p>
      <w:r>
        <w:t xml:space="preserve">(3) Unter den Voraussetzungen des Absatzes 1 kann Akteneinsicht gewährt werden, wenn die Erteilung von Auskünften einen unverhältnismäßigen Aufwand erfordert oder nach Darlegung dessen, der Akteneinsicht begeht, zur Wahrung des berechtigten Interesses nicht ausreichen würde. Von der Akteneinsicht werden zwecks Wahrung der Privatsphäre die in Absatz 2 genannten Bestandteile der Akte ausgenommen.</w:t>
      </w:r>
    </w:p>
    <w:p>
      <w:r>
        <w:t xml:space="preserve">(4) Die Akteneinsicht erfolgt bei der Bundesstelle. Im Einzelfall kann die Einsicht auch bei einer anderen Behörde oder bei einer diplomatischen oder berufskonsularischen Vertretung der Bundesrepublik Deutschland im Ausland erfolgen.</w:t>
      </w:r>
    </w:p>
    <w:p>
      <w:r>
        <w:rPr>
          <w:color w:val="555555"/>
          <w:sz w:val="17"/>
        </w:rPr>
        <w:t xml:space="preserve">Zitiervorschlag: § 21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