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FlUUG — Freigabe der Unfallstelle und des Luftfahrzeugs</w:t>
      </w:r>
    </w:p>
    <w:p>
      <w:r>
        <w:rPr>
          <w:color w:val="555555"/>
          <w:sz w:val="18"/>
        </w:rPr>
        <w:t xml:space="preserve">Flugunfall-Untersuchungs-Gesetz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die Freigabe der Unfallstelle, des Luftfahrzeugs, des Wracks oder seiner Teile, der Ladung und etwaiger Opfer entscheidet der Untersuchungsführer in enger Zusammenarbeit mit der zuständigen Strafverfolgungsbehörde.</w:t>
      </w:r>
    </w:p>
    <w:p>
      <w:r>
        <w:rPr>
          <w:color w:val="555555"/>
          <w:sz w:val="17"/>
        </w:rPr>
        <w:t xml:space="preserve">Zitiervorschlag: § 13 FlUUG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https://recht.nulegal.eu/gesetze/FlUUG/13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