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FlUUG — Unfallstelle</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Die Unfallstelle ist frühestmöglich wirksam gegen den Zutritt Dritter abzusperren. Unbefugte dürfen die Unfallstelle nicht betreten. Über den Zutritt zur abgesperrten Unfallstelle entscheidet der Untersuchungsführer in enger Zusammenarbeit mit der zuständigen Strafverfolgungsbehörde.</w:t>
      </w:r>
    </w:p>
    <w:p>
      <w:r>
        <w:t xml:space="preserve">(2) Die Unfallstelle, die Unfallspuren sowie sämtliche Wrackteile, Trümmerstücke und sonstiger Inhalt des Luftfahrzeugs dürfen bis zur Freigabe (§ 13) durch den Untersuchungsführer nicht berührt oder verändert werden. Gestattet sind lediglich</w:t>
      </w:r>
    </w:p>
    <w:p>
      <w:pPr>
        <w:ind w:left="420"/>
      </w:pPr>
      <w:r>
        <w:t xml:space="preserve">a) Löschmaßnahmen, möglichst ohne die Lage der in Satz 1 genannten Gegenstände zu verändern,</w:t>
      </w:r>
    </w:p>
    <w:p>
      <w:pPr>
        <w:ind w:left="420"/>
      </w:pPr>
      <w:r>
        <w:t xml:space="preserve">b) Maßnahmen zur Abwehr einer unmittelbar drohenden Gefahr,</w:t>
      </w:r>
    </w:p>
    <w:p>
      <w:pPr>
        <w:ind w:left="420"/>
      </w:pPr>
      <w:r>
        <w:t xml:space="preserve">c) Bergung und Erste-Hilfe-Maßnahmen an Verletzten möglichst unter gleichzeitiger schriftlicher und bildlicher Dokumentierung ihrer Lage auf der Unfallstelle oder im Verhältnis zur Unfallstelle.</w:t>
      </w:r>
    </w:p>
    <w:p>
      <w:r>
        <w:t xml:space="preserve">Unzweifelhaft Tote und ihre Überreste sind bis zur Freigabe durch den Untersuchungsführer unverändert liegen zu lassen.</w:t>
      </w:r>
    </w:p>
    <w:p>
      <w:r>
        <w:rPr>
          <w:color w:val="555555"/>
          <w:sz w:val="17"/>
        </w:rPr>
        <w:t xml:space="preserve">Zitiervorschlag: § 12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