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FlUUG — Untersuchungsbefugnisse</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Der Untersuchungsführer, die Untersuchungsfachkräfte und die Beauftragten für Unfalluntersuchung sind zur Erfüllung des Untersuchungsauftrags nach § 3 im Benehmen mit der örtlich zuständigen Strafverfolgungsbehörde befugt, alle Maßnahmen zu ergreifen, insbesondere</w:t>
      </w:r>
    </w:p>
    <w:p>
      <w:pPr>
        <w:ind w:left="420"/>
      </w:pPr>
      <w:r>
        <w:t xml:space="preserve">1. ungehinderter Zugang zum Ort des Unfalls oder der Störung sowie zum Luftfahrzeug, zu seiner Ladung, zu seinem Wrack und zu Teilen desselben, Grundstücke und beschädigte Wohnungen zu betreten und zu besichtigen; das Grundrecht der Unverletzlichkeit der Wohnung (Artikel 13 Grundgesetz) wird insoweit eingeschränkt;</w:t>
      </w:r>
    </w:p>
    <w:p>
      <w:pPr>
        <w:ind w:left="420"/>
      </w:pPr>
      <w:r>
        <w:t xml:space="preserve">2. sofortige Spurenaufnahme und Entnahme von Trümmern, Bauteilen und Bestandteilen der Ladung zu Untersuchungs- oder Auswertungszwecken,</w:t>
      </w:r>
    </w:p>
    <w:p>
      <w:pPr>
        <w:ind w:left="420"/>
      </w:pPr>
      <w:r>
        <w:t xml:space="preserve">3. sofortiger Zugang zu Aufzeichnungsanlagen, Aufzeichnungsträgern und sonstigen Aufzeichnungen aus dem Luftfahrzeug und bei der Flugsicherung, Ansichnahme dieser Gegenstände und ihre Auswertung sowie Zugang zu sonstigen Aufzeichnungen und deren Auswertung,</w:t>
      </w:r>
    </w:p>
    <w:p>
      <w:pPr>
        <w:ind w:left="420"/>
      </w:pPr>
      <w:r>
        <w:t xml:space="preserve">4. Zugang zu den Ergebnissen einer Untersuchung der Opfer (Tote, Verletzte) oder von entsprechenden Proben,</w:t>
      </w:r>
    </w:p>
    <w:p>
      <w:pPr>
        <w:ind w:left="420"/>
      </w:pPr>
      <w:r>
        <w:t xml:space="preserve">5. Zugang zu den Ergebnissen von Untersuchungen der am Betrieb des Luftfahrzeugs beteiligten Personen oder von entsprechenden Proben,</w:t>
      </w:r>
    </w:p>
    <w:p>
      <w:pPr>
        <w:ind w:left="420"/>
      </w:pPr>
      <w:r>
        <w:t xml:space="preserve">6. sachdienliche Information durch ungehinderte Einsichtnahme in die sachbezogenen schriftlichen Unterlagen des Eigentümers, des Halters und des Herstellers des Luftfahrzeugs und seiner Teile sowie der für die Zivilluftfahrt und den Flugplatzbetrieb zuständigen Behörden und gegebenenfalls die Anfertigung entsprechender Kopien,</w:t>
      </w:r>
    </w:p>
    <w:p>
      <w:r>
        <w:t xml:space="preserve">soweit dies zur Erreichung des Untersuchungszwecks erforderlich ist.</w:t>
      </w:r>
    </w:p>
    <w:p>
      <w:r>
        <w:t xml:space="preserve">(2) Der Untersuchungsführer ist im Einvernehmen mit der zuständigen Strafverfolgungsbehörde befugt, eine Autopsie der sterblichen Überreste von Besatzungsmitgliedern und anderen Insassen des Luftfahrzeugs zu verlangen, wenn der begründete Verdacht besteht, daß gesundheitliche Störungen Ursache des Unfalls sein können, oder wenn die Untersuchung des Insassenschutzes vor tödlichen Verletzungen (Überlebensaspekte) dies erfordert. Die Leichenöffnung und die Ausgrabung einer beerdigten Leiche werden vom Richter beim Amtsgericht angeordnet; der Untersuchungsführer ist zu der Anordnung befugt, wenn der Untersuchungserfolg durch Verzögerung gefährdet würde. § 87 Abs. 1 bis 3 und 4 Satz 2 der Strafprozeßordnung gilt entsprechend.</w:t>
      </w:r>
    </w:p>
    <w:p>
      <w:r>
        <w:t xml:space="preserve">(3) Die Sicherstellung von als Nachweismittel geeigneten Spuren und Gegenständen hat in enger Zusammenarbeit mit der zuständigen Strafverfolgungsbehörde zu erfolgen. Dies gilt insbesondere für solche Nachweismittel, die für einen erfolgreichen Ausgang der Untersuchung sofort gesichert und ausgewertet werden müssen wie die Identifizierung und Untersuchung der Opfer und die Aufzeichnungsanlagen.</w:t>
      </w:r>
    </w:p>
    <w:p>
      <w:r>
        <w:rPr>
          <w:color w:val="555555"/>
          <w:sz w:val="17"/>
        </w:rPr>
        <w:t xml:space="preserve">Zitiervorschlag: § 11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