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FlUUG — Anwendungsbereich des Gesetzes</w:t>
      </w:r>
    </w:p>
    <w:p>
      <w:r>
        <w:rPr>
          <w:color w:val="555555"/>
          <w:sz w:val="18"/>
        </w:rPr>
        <w:t xml:space="preserve">Flugunfall-Untersuchungs-Gesetz</w:t>
      </w:r>
    </w:p>
    <w:p>
      <w:r>
        <w:rPr>
          <w:color w:val="555555"/>
          <w:sz w:val="18"/>
        </w:rPr>
        <w:t xml:space="preserve">Stand: 02.12.2019 (konsolidierte Textfassung, kein amtliches Inkrafttretensdatum)</w:t>
      </w:r>
    </w:p>
    <w:p>
      <w:r>
        <w:t xml:space="preserve">(1) Dieses Gesetz gilt für die Untersuchung von Unfällen und Störungen beim Betrieb ziviler Luftfahrzeuge, die sich im Hoheitsgebiet der Bundesrepublik Deutschland ereignen, und für die Verarbeitung von personenbezogenen Daten, die in diesem Zusammenhang anfallen.</w:t>
      </w:r>
    </w:p>
    <w:p>
      <w:r>
        <w:t xml:space="preserve">(2) Wird die Untersuchung eines Unfalls oder einer Störung eines in der Bundesrepublik Deutschland eingetragenen oder hergestellten oder von einem deutschen Halter betriebenen Luftfahrzeugs, der oder die sich im Ausland oder außerhalb staatlichen Hoheitsgebiets ereignet hat, nicht von einem anderen Staat durchgeführt, ist dieses Gesetz anzuwenden vorbehaltlich im Einzelfall zwingend anzuwendenden ausländischen Rechts.</w:t>
      </w:r>
    </w:p>
    <w:p>
      <w:r>
        <w:t xml:space="preserve">(3) Unfälle und Störungen, an denen zivile und militärische Luftfahrzeuge beteiligt sind, werden federführend von der zivilen Bundesstelle für Flugunfalluntersuchung untersucht (§ 4). Für Fälle, die überwiegend militärische Belange berühren, wird zwischen dem Bundesministerium für Verkehr und digitale Infrastruktur und dem Bundesministerium der Verteidigung eine geeignete Regelung getroffen.</w:t>
      </w:r>
    </w:p>
    <w:p>
      <w:r>
        <w:rPr>
          <w:color w:val="555555"/>
          <w:sz w:val="17"/>
        </w:rPr>
        <w:t xml:space="preserve">Zitiervorschlag: § 1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