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FlUStatV</w:t>
      </w:r>
    </w:p>
    <w:p>
      <w:r>
        <w:rPr>
          <w:color w:val="555555"/>
          <w:sz w:val="18"/>
        </w:rPr>
        <w:t xml:space="preserve">Fleischuntersuchungsstatistik-Verordnung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66 Abs. 2 des Lebensmittel- und Futtermittelgesetzbuches in der Fassung der Bekanntmachung vom 26. April 2006 (BGBl. I S. 945)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FlUStatV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https://recht.nulegal.eu/gesetze/FlUStatV/eingangsformel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