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FlUStatV — Aufbereitung der Ergebnisse</w:t>
      </w:r>
    </w:p>
    <w:p>
      <w:r>
        <w:rPr>
          <w:color w:val="555555"/>
          <w:sz w:val="18"/>
        </w:rPr>
        <w:t xml:space="preserve">Fleischuntersuchungsstatistik-Verordnung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Statistische Bundesamt bereitet die Ergebnisse der Statistik, auch nach Ländern gegliedert, auf und veröffentlicht sie.</w:t>
      </w:r>
    </w:p>
    <w:p>
      <w:r>
        <w:t xml:space="preserve">(2) Ergebnisse unterhalb der Landesebene werden vom Statistischen Bundesamt auf Anforderung</w:t>
      </w:r>
    </w:p>
    <w:p>
      <w:pPr>
        <w:ind w:left="420"/>
      </w:pPr>
      <w:r>
        <w:t xml:space="preserve">1. dem Bundesministerium für Ernährung und Landwirtschaft für das Bundesgebiet und</w:t>
      </w:r>
    </w:p>
    <w:p>
      <w:pPr>
        <w:ind w:left="420"/>
      </w:pPr>
      <w:r>
        <w:t xml:space="preserve">2. den zuständigen obersten Landesbehörden und den für die in § 1 Satz 1 genannten Untersuchungen und Kontrollen zuständigen Behörden jeweils für ihren Zuständigkeitsbereich</w:t>
      </w:r>
    </w:p>
    <w:p>
      <w:r>
        <w:t xml:space="preserve">übermittelt. Das Bundesministerium für Ernährung und Landwirtschaft darf die ihm nach Absatz 2 Nummer 1 übermittelten Daten an das Bundesinstitut für Risikobewertung zur Erstellung von wissenschaftlichen Ausarbeitungen, Gutachten und Stellungnahmen im Rahmen der Risikobewertung übermitteln.</w:t>
      </w:r>
    </w:p>
    <w:p>
      <w:r>
        <w:rPr>
          <w:color w:val="555555"/>
          <w:sz w:val="17"/>
        </w:rPr>
        <w:t xml:space="preserve">Zitiervorschlag: § 4 FlUStatV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https://recht.nulegal.eu/gesetze/FlUStatV/4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