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22 Nr. 1, 4, 5 und 6 Buchstaben a bis f des Flaggenrechtsgesetzes in der Fassung der Bekanntmachung vom 4. Juli 1990 (BGBl. I S. 1342) verordnet der Bundesminister für Verkehr,</w:t>
      </w:r>
    </w:p>
    <w:p>
      <w:pPr>
        <w:ind w:left="420"/>
      </w:pPr>
      <w:r>
        <w:t xml:space="preserve">- des § 22 Nr. 3 des Flaggenrechtsgesetzes verordnet der Bundesminister für Verkehr im Einvernehmen mit dem Bundesminister der Justiz:</w:t>
      </w:r>
    </w:p>
    <w:p>
      <w:r>
        <w:rPr>
          <w:color w:val="555555"/>
          <w:sz w:val="17"/>
        </w:rPr>
        <w:t xml:space="preserve">Zitiervorschlag: Eingangsformel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