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Der Flaggenschein wird</w:t>
      </w:r>
    </w:p>
    <w:p>
      <w:pPr>
        <w:ind w:left="420"/>
      </w:pPr>
      <w:r>
        <w:t xml:space="preserve">1. in den Fällen des § 7 Abs. 1 Nr. 1 für die Dauer der Überführung in einen anderen Hafen oder die erforderlichen Werftprobefahrten,</w:t>
      </w:r>
    </w:p>
    <w:p>
      <w:pPr>
        <w:ind w:left="420"/>
      </w:pPr>
      <w:r>
        <w:t xml:space="preserve">2. in den Fällen des § 7 Abs. 1 Nr. 2 für die Dauer der Befugnis zur Führung der Bundesflagge,</w:t>
      </w:r>
    </w:p>
    <w:p>
      <w:pPr>
        <w:ind w:left="420"/>
      </w:pPr>
      <w:r>
        <w:t xml:space="preserve">3. in den Fällen des § 7 Abs. 1 Nr. 3 unter dem Vorbehalt des Widerrufs für die Dauer der Überlassung des Schiffes zur Bereederung in eigenem Namen</w:t>
      </w:r>
    </w:p>
    <w:p>
      <w:r>
        <w:t xml:space="preserve">erteilt.</w:t>
      </w:r>
    </w:p>
    <w:p>
      <w:r>
        <w:rPr>
          <w:color w:val="555555"/>
          <w:sz w:val="17"/>
        </w:rPr>
        <w:t xml:space="preserve">Zitiervorschlag: § 9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